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3A8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68"/>
          <w:szCs w:val="68"/>
        </w:rPr>
      </w:pPr>
      <w:r>
        <w:rPr>
          <w:rFonts w:ascii="Helvetica" w:hAnsi="Helvetica"/>
          <w:sz w:val="68"/>
          <w:szCs w:val="68"/>
        </w:rPr>
        <w:t>—</w:t>
      </w:r>
      <w:proofErr w:type="spellStart"/>
      <w:r>
        <w:rPr>
          <w:rFonts w:ascii="Helvetica" w:hAnsi="Helvetica"/>
          <w:sz w:val="68"/>
          <w:szCs w:val="68"/>
        </w:rPr>
        <w:t>Syllabus</w:t>
      </w:r>
      <w:proofErr w:type="spellEnd"/>
    </w:p>
    <w:p w14:paraId="1B68A047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sz w:val="20"/>
          <w:szCs w:val="20"/>
        </w:rPr>
      </w:pPr>
    </w:p>
    <w:p w14:paraId="17D978C5" w14:textId="2A894491" w:rsidR="00776E84" w:rsidRDefault="006F67AD">
      <w:pPr>
        <w:pStyle w:val="Didefault"/>
        <w:spacing w:before="0" w:line="264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Dipartimento </w:t>
      </w:r>
      <w:r w:rsidR="00F86B3D">
        <w:rPr>
          <w:rFonts w:ascii="Helvetica" w:hAnsi="Helvetica"/>
          <w:sz w:val="20"/>
          <w:szCs w:val="20"/>
        </w:rPr>
        <w:t xml:space="preserve">di </w:t>
      </w:r>
      <w:bookmarkStart w:id="0" w:name="_Hlk100070201"/>
      <w:r w:rsidR="00F86B3D" w:rsidRPr="00F86B3D">
        <w:rPr>
          <w:rFonts w:ascii="Helvetica" w:hAnsi="Helvetica"/>
          <w:sz w:val="20"/>
          <w:szCs w:val="20"/>
        </w:rPr>
        <w:t>Comunicazione e valorizzazione del patrimonio artistico contemporaneo</w:t>
      </w:r>
      <w:bookmarkEnd w:id="0"/>
    </w:p>
    <w:p w14:paraId="08BE2776" w14:textId="2D68A75D" w:rsidR="00F86B3D" w:rsidRDefault="00F86B3D">
      <w:pPr>
        <w:pStyle w:val="Didefault"/>
        <w:spacing w:before="0" w:line="264" w:lineRule="auto"/>
        <w:rPr>
          <w:rFonts w:ascii="Helvetica" w:eastAsia="Helvetica" w:hAnsi="Helvetica" w:cs="Helvetica"/>
          <w:sz w:val="20"/>
          <w:szCs w:val="20"/>
        </w:rPr>
      </w:pPr>
      <w:r w:rsidRPr="00F86B3D">
        <w:rPr>
          <w:rFonts w:ascii="Helvetica" w:eastAsia="Helvetica" w:hAnsi="Helvetica" w:cs="Helvetica"/>
          <w:sz w:val="20"/>
          <w:szCs w:val="20"/>
        </w:rPr>
        <w:t xml:space="preserve">DAPL09 </w:t>
      </w:r>
    </w:p>
    <w:p w14:paraId="0F9C68DE" w14:textId="2E86B6A2" w:rsidR="00776E84" w:rsidRDefault="006F67AD">
      <w:pPr>
        <w:pStyle w:val="Didefault"/>
        <w:spacing w:before="60" w:line="264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Diploma Accademico di</w:t>
      </w:r>
      <w:r w:rsidR="00F86B3D">
        <w:rPr>
          <w:rFonts w:ascii="Helvetica" w:hAnsi="Helvetica"/>
          <w:sz w:val="20"/>
          <w:szCs w:val="20"/>
        </w:rPr>
        <w:t xml:space="preserve"> Primo </w:t>
      </w:r>
      <w:r>
        <w:rPr>
          <w:rFonts w:ascii="Helvetica" w:hAnsi="Helvetica"/>
          <w:sz w:val="20"/>
          <w:szCs w:val="20"/>
        </w:rPr>
        <w:t xml:space="preserve">livello in </w:t>
      </w:r>
      <w:r w:rsidR="00F86B3D" w:rsidRPr="00F86B3D">
        <w:rPr>
          <w:rFonts w:ascii="Helvetica" w:hAnsi="Helvetica"/>
          <w:sz w:val="20"/>
          <w:szCs w:val="20"/>
        </w:rPr>
        <w:t>Comunicazione e valorizzazione del patrimonio artistico contemporaneo</w:t>
      </w:r>
    </w:p>
    <w:p w14:paraId="7E6FBC00" w14:textId="77E4B6F4" w:rsidR="00776E84" w:rsidRPr="00676F67" w:rsidRDefault="006F67AD">
      <w:pPr>
        <w:pStyle w:val="Didefault"/>
        <w:spacing w:before="80" w:line="264" w:lineRule="auto"/>
        <w:rPr>
          <w:rFonts w:ascii="Helvetica" w:hAnsi="Helvetica"/>
          <w:sz w:val="20"/>
          <w:szCs w:val="20"/>
        </w:rPr>
      </w:pPr>
      <w:r w:rsidRPr="00676F67">
        <w:rPr>
          <w:rFonts w:ascii="Helvetica" w:hAnsi="Helvetica"/>
          <w:sz w:val="20"/>
          <w:szCs w:val="20"/>
        </w:rPr>
        <w:t xml:space="preserve">corso </w:t>
      </w:r>
      <w:r w:rsidR="00F86B3D" w:rsidRPr="00676F67">
        <w:rPr>
          <w:rFonts w:ascii="Helvetica" w:hAnsi="Helvetica"/>
          <w:sz w:val="20"/>
          <w:szCs w:val="20"/>
        </w:rPr>
        <w:t>Comunicazione e valorizzazione del patrimonio artistico contemporaneo</w:t>
      </w:r>
    </w:p>
    <w:p w14:paraId="1C4BB597" w14:textId="77777777" w:rsidR="00737846" w:rsidRDefault="00737846">
      <w:pPr>
        <w:pStyle w:val="Didefault"/>
        <w:spacing w:before="80" w:line="264" w:lineRule="auto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D4504F8" w14:textId="2BDC55C4" w:rsidR="00F86B3D" w:rsidRPr="00F86B3D" w:rsidRDefault="00F86B3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44"/>
          <w:szCs w:val="44"/>
        </w:rPr>
      </w:pPr>
      <w:r w:rsidRPr="00F86B3D">
        <w:rPr>
          <w:rFonts w:ascii="Helvetica" w:eastAsia="Helvetica" w:hAnsi="Helvetica" w:cs="Helvetica"/>
          <w:b/>
          <w:bCs/>
          <w:sz w:val="44"/>
          <w:szCs w:val="44"/>
        </w:rPr>
        <w:t>Beni culturali dell'età  contemporanea</w:t>
      </w:r>
    </w:p>
    <w:p w14:paraId="6F9F45EC" w14:textId="5B66232B" w:rsidR="00F86B3D" w:rsidRPr="00676F67" w:rsidRDefault="006F67AD">
      <w:pPr>
        <w:pStyle w:val="Didefault"/>
        <w:spacing w:before="0" w:line="264" w:lineRule="auto"/>
        <w:rPr>
          <w:rFonts w:ascii="Helvetica" w:hAnsi="Helvetica"/>
          <w:sz w:val="20"/>
          <w:szCs w:val="20"/>
        </w:rPr>
      </w:pPr>
      <w:r w:rsidRPr="00676F67">
        <w:rPr>
          <w:rFonts w:ascii="Helvetica" w:eastAsia="Helvetica" w:hAnsi="Helvetica" w:cs="Helvetica"/>
          <w:sz w:val="20"/>
          <w:szCs w:val="20"/>
        </w:rPr>
        <w:tab/>
      </w:r>
      <w:r w:rsidRPr="00676F67">
        <w:rPr>
          <w:rFonts w:ascii="Helvetica" w:eastAsia="Helvetica" w:hAnsi="Helvetica" w:cs="Helvetica"/>
          <w:color w:val="EE220C"/>
          <w:sz w:val="20"/>
          <w:szCs w:val="20"/>
        </w:rPr>
        <w:tab/>
      </w:r>
      <w:r w:rsidR="00BF571F" w:rsidRPr="00676F67">
        <w:rPr>
          <w:rFonts w:ascii="Helvetica" w:hAnsi="Helvetica"/>
          <w:sz w:val="22"/>
          <w:szCs w:val="22"/>
        </w:rPr>
        <w:t>ABVPA61</w:t>
      </w:r>
      <w:r w:rsidRPr="00676F67">
        <w:rPr>
          <w:rFonts w:ascii="Helvetica" w:hAnsi="Helvetica"/>
          <w:sz w:val="20"/>
          <w:szCs w:val="20"/>
        </w:rPr>
        <w:t xml:space="preserve">— </w:t>
      </w:r>
      <w:r w:rsidR="00335821" w:rsidRPr="00676F67">
        <w:rPr>
          <w:rFonts w:ascii="Helvetica" w:hAnsi="Helvetica"/>
          <w:color w:val="auto"/>
          <w:sz w:val="20"/>
          <w:szCs w:val="20"/>
        </w:rPr>
        <w:t>100</w:t>
      </w:r>
      <w:r w:rsidRPr="00676F67">
        <w:rPr>
          <w:rFonts w:ascii="Helvetica" w:hAnsi="Helvetica"/>
          <w:color w:val="auto"/>
          <w:sz w:val="20"/>
          <w:szCs w:val="20"/>
        </w:rPr>
        <w:t xml:space="preserve"> </w:t>
      </w:r>
      <w:r w:rsidRPr="00676F67">
        <w:rPr>
          <w:rFonts w:ascii="Helvetica" w:hAnsi="Helvetica"/>
          <w:sz w:val="20"/>
          <w:szCs w:val="20"/>
        </w:rPr>
        <w:t xml:space="preserve">ore </w:t>
      </w:r>
      <w:r w:rsidR="00335821" w:rsidRPr="00676F67">
        <w:rPr>
          <w:rFonts w:ascii="Helvetica" w:hAnsi="Helvetica"/>
          <w:color w:val="auto"/>
          <w:sz w:val="20"/>
          <w:szCs w:val="20"/>
        </w:rPr>
        <w:t>8</w:t>
      </w:r>
      <w:r w:rsidRPr="00676F67">
        <w:rPr>
          <w:rFonts w:ascii="Helvetica" w:hAnsi="Helvetica"/>
          <w:color w:val="auto"/>
          <w:sz w:val="20"/>
          <w:szCs w:val="20"/>
        </w:rPr>
        <w:t xml:space="preserve"> </w:t>
      </w:r>
      <w:r w:rsidRPr="00676F67">
        <w:rPr>
          <w:rFonts w:ascii="Helvetica" w:hAnsi="Helvetica"/>
          <w:sz w:val="20"/>
          <w:szCs w:val="20"/>
        </w:rPr>
        <w:t>CFA</w:t>
      </w:r>
    </w:p>
    <w:p w14:paraId="4172A0F2" w14:textId="0F4AB3D8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a.a</w:t>
      </w:r>
      <w:proofErr w:type="spellEnd"/>
      <w:r w:rsidR="00F86B3D">
        <w:rPr>
          <w:rFonts w:ascii="Helvetica" w:hAnsi="Helvetica"/>
          <w:sz w:val="20"/>
          <w:szCs w:val="20"/>
        </w:rPr>
        <w:t>. 202</w:t>
      </w:r>
      <w:r w:rsidR="00E969DF">
        <w:rPr>
          <w:rFonts w:ascii="Helvetica" w:hAnsi="Helvetica"/>
          <w:sz w:val="20"/>
          <w:szCs w:val="20"/>
        </w:rPr>
        <w:t>2</w:t>
      </w:r>
      <w:r w:rsidR="00F86B3D">
        <w:rPr>
          <w:rFonts w:ascii="Helvetica" w:hAnsi="Helvetica"/>
          <w:sz w:val="20"/>
          <w:szCs w:val="20"/>
        </w:rPr>
        <w:t>/202</w:t>
      </w:r>
      <w:r w:rsidR="00E969DF">
        <w:rPr>
          <w:rFonts w:ascii="Helvetica" w:hAnsi="Helvetica"/>
          <w:sz w:val="20"/>
          <w:szCs w:val="20"/>
        </w:rPr>
        <w:t>3</w:t>
      </w:r>
    </w:p>
    <w:p w14:paraId="65952D6B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sz w:val="20"/>
          <w:szCs w:val="20"/>
        </w:rPr>
      </w:pPr>
    </w:p>
    <w:p w14:paraId="2EC0CBCF" w14:textId="77777777" w:rsidR="00737846" w:rsidRDefault="006F67AD" w:rsidP="00737846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Fonts w:ascii="Helvetica" w:hAnsi="Helvetica"/>
          <w:b/>
          <w:bCs/>
          <w:sz w:val="22"/>
          <w:szCs w:val="22"/>
        </w:rPr>
        <w:t>Professore</w:t>
      </w:r>
      <w:r w:rsidR="00737846">
        <w:rPr>
          <w:rFonts w:ascii="Helvetica" w:hAnsi="Helvetica"/>
          <w:b/>
          <w:bCs/>
          <w:sz w:val="22"/>
          <w:szCs w:val="22"/>
        </w:rPr>
        <w:t xml:space="preserve"> Viviana Scalia</w:t>
      </w:r>
    </w:p>
    <w:p w14:paraId="36A25A3F" w14:textId="1F20AC75" w:rsidR="00776E84" w:rsidRPr="00737846" w:rsidRDefault="00737846" w:rsidP="00737846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>di ruolo  Beni culturali e ambientali</w:t>
      </w:r>
      <w:r w:rsidR="006F67AD">
        <w:rPr>
          <w:rFonts w:ascii="Helvetica" w:hAnsi="Helvetica"/>
          <w:sz w:val="22"/>
          <w:szCs w:val="22"/>
        </w:rPr>
        <w:t xml:space="preserve"> </w:t>
      </w:r>
      <w:r w:rsidR="000C1285">
        <w:rPr>
          <w:rFonts w:ascii="Helvetica" w:hAnsi="Helvetica"/>
          <w:sz w:val="22"/>
          <w:szCs w:val="22"/>
        </w:rPr>
        <w:t>(</w:t>
      </w:r>
      <w:bookmarkStart w:id="1" w:name="_Hlk100072813"/>
      <w:r w:rsidR="000C1285">
        <w:rPr>
          <w:rFonts w:ascii="Helvetica" w:hAnsi="Helvetica"/>
          <w:sz w:val="22"/>
          <w:szCs w:val="22"/>
        </w:rPr>
        <w:t>ABVPA61</w:t>
      </w:r>
      <w:bookmarkEnd w:id="1"/>
      <w:r w:rsidR="006F67AD">
        <w:rPr>
          <w:rFonts w:ascii="Helvetica" w:hAnsi="Helvetica"/>
          <w:sz w:val="22"/>
          <w:szCs w:val="22"/>
        </w:rPr>
        <w:t>)</w:t>
      </w:r>
      <w:r w:rsidR="006F67AD">
        <w:rPr>
          <w:rFonts w:ascii="Helvetica" w:eastAsia="Helvetica" w:hAnsi="Helvetica" w:cs="Helvetica"/>
          <w:sz w:val="22"/>
          <w:szCs w:val="22"/>
        </w:rPr>
        <w:br/>
      </w:r>
      <w:r w:rsidR="006F67AD">
        <w:rPr>
          <w:rFonts w:ascii="Helvetica" w:hAnsi="Helvetica"/>
          <w:sz w:val="22"/>
          <w:szCs w:val="22"/>
        </w:rPr>
        <w:t>Posta elettronica istituzionale (PEO</w:t>
      </w:r>
      <w:r w:rsidR="000C1285">
        <w:rPr>
          <w:rFonts w:ascii="Helvetica" w:hAnsi="Helvetica"/>
          <w:sz w:val="22"/>
          <w:szCs w:val="22"/>
        </w:rPr>
        <w:t>): vivianascalia@abacatania.it</w:t>
      </w:r>
      <w:r w:rsidR="006F67AD">
        <w:rPr>
          <w:rFonts w:ascii="Helvetica" w:hAnsi="Helvetica"/>
          <w:color w:val="EE220C"/>
          <w:sz w:val="22"/>
          <w:szCs w:val="22"/>
        </w:rPr>
        <w:t xml:space="preserve"> </w:t>
      </w:r>
    </w:p>
    <w:p w14:paraId="04735791" w14:textId="77777777" w:rsidR="00431418" w:rsidRPr="00431418" w:rsidRDefault="006F67AD">
      <w:pPr>
        <w:pStyle w:val="Didefault"/>
        <w:spacing w:before="0" w:line="264" w:lineRule="auto"/>
        <w:rPr>
          <w:rFonts w:ascii="Helvetica" w:hAnsi="Helvetica"/>
          <w:color w:val="auto"/>
          <w:sz w:val="22"/>
          <w:szCs w:val="22"/>
        </w:rPr>
      </w:pPr>
      <w:r>
        <w:rPr>
          <w:rFonts w:ascii="Helvetica" w:hAnsi="Helvetica"/>
          <w:sz w:val="22"/>
          <w:szCs w:val="22"/>
        </w:rPr>
        <w:t>Orario di ricevimento: ogni</w:t>
      </w:r>
      <w:r w:rsidR="000C1285">
        <w:rPr>
          <w:rFonts w:ascii="Helvetica" w:hAnsi="Helvetica"/>
          <w:sz w:val="22"/>
          <w:szCs w:val="22"/>
        </w:rPr>
        <w:t xml:space="preserve"> mercoledì</w:t>
      </w:r>
      <w:r>
        <w:rPr>
          <w:rFonts w:ascii="Helvetica" w:hAnsi="Helvetica"/>
          <w:sz w:val="22"/>
          <w:szCs w:val="22"/>
        </w:rPr>
        <w:t xml:space="preserve"> dalle</w:t>
      </w:r>
      <w:r w:rsidR="000C1285">
        <w:rPr>
          <w:rFonts w:ascii="Helvetica" w:hAnsi="Helvetica"/>
          <w:sz w:val="22"/>
          <w:szCs w:val="22"/>
        </w:rPr>
        <w:t xml:space="preserve"> 15,30</w:t>
      </w:r>
      <w:r>
        <w:rPr>
          <w:rFonts w:ascii="Helvetica" w:hAnsi="Helvetica"/>
          <w:sz w:val="22"/>
          <w:szCs w:val="22"/>
        </w:rPr>
        <w:t xml:space="preserve"> all</w:t>
      </w:r>
      <w:r w:rsidR="000C1285">
        <w:rPr>
          <w:rFonts w:ascii="Helvetica" w:hAnsi="Helvetica"/>
          <w:sz w:val="22"/>
          <w:szCs w:val="22"/>
        </w:rPr>
        <w:t>e 16,30</w:t>
      </w:r>
      <w:r>
        <w:rPr>
          <w:rFonts w:ascii="Helvetica" w:hAnsi="Helvetica"/>
          <w:color w:val="EE220C"/>
          <w:sz w:val="22"/>
          <w:szCs w:val="22"/>
        </w:rPr>
        <w:t xml:space="preserve"> </w:t>
      </w:r>
      <w:r w:rsidRPr="000C1285">
        <w:rPr>
          <w:rFonts w:ascii="Helvetica" w:hAnsi="Helvetica"/>
          <w:color w:val="auto"/>
          <w:sz w:val="22"/>
          <w:szCs w:val="22"/>
        </w:rPr>
        <w:t>(previa prenotazione tramite PEO)</w:t>
      </w:r>
      <w:r>
        <w:rPr>
          <w:rFonts w:ascii="Helvetica" w:eastAsia="Helvetica" w:hAnsi="Helvetica" w:cs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Sede:</w:t>
      </w:r>
      <w:r>
        <w:rPr>
          <w:rFonts w:ascii="Helvetica" w:hAnsi="Helvetica"/>
          <w:color w:val="EE220C"/>
          <w:sz w:val="22"/>
          <w:szCs w:val="22"/>
        </w:rPr>
        <w:t xml:space="preserve"> </w:t>
      </w:r>
      <w:r w:rsidRPr="00431418">
        <w:rPr>
          <w:rFonts w:ascii="Helvetica" w:hAnsi="Helvetica"/>
          <w:color w:val="auto"/>
          <w:sz w:val="22"/>
          <w:szCs w:val="22"/>
        </w:rPr>
        <w:t xml:space="preserve">Microsoft Teams </w:t>
      </w:r>
      <w:r w:rsidR="00431418" w:rsidRPr="00431418">
        <w:rPr>
          <w:rFonts w:ascii="Helvetica" w:hAnsi="Helvetica"/>
          <w:color w:val="auto"/>
          <w:sz w:val="22"/>
          <w:szCs w:val="22"/>
        </w:rPr>
        <w:t>(noz7ysv)</w:t>
      </w:r>
    </w:p>
    <w:p w14:paraId="26ACF9D3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</w:t>
      </w:r>
    </w:p>
    <w:p w14:paraId="54F8E313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Obiettivi formativi</w:t>
      </w:r>
    </w:p>
    <w:p w14:paraId="1B638C01" w14:textId="686CA0D3" w:rsidR="00776E84" w:rsidRDefault="00737846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 w:rsidRPr="00737846">
        <w:rPr>
          <w:rFonts w:ascii="Helvetica" w:eastAsia="Helvetica" w:hAnsi="Helvetica" w:cs="Helvetica"/>
          <w:sz w:val="22"/>
          <w:szCs w:val="22"/>
        </w:rPr>
        <w:t>Il corso ha l'obbiettivo di fornire gli strumenti necessari per analizzare alcune dinamiche che portano la produzione artistica contemporanea ad entrare nella sfera dei beni culturali contemporanei.</w:t>
      </w:r>
    </w:p>
    <w:p w14:paraId="2A62AF0C" w14:textId="77777777" w:rsidR="00737846" w:rsidRDefault="00737846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</w:p>
    <w:p w14:paraId="54FEC307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Modalità di svolgimento dell'insegnamento</w:t>
      </w:r>
    </w:p>
    <w:p w14:paraId="4C8CB404" w14:textId="7828390E" w:rsidR="00776E84" w:rsidRPr="00431418" w:rsidRDefault="006F67AD">
      <w:pPr>
        <w:pStyle w:val="Didefault"/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431418">
        <w:rPr>
          <w:rFonts w:ascii="Helvetica" w:hAnsi="Helvetica"/>
          <w:color w:val="auto"/>
          <w:sz w:val="22"/>
          <w:szCs w:val="22"/>
        </w:rPr>
        <w:t>II semestre</w:t>
      </w:r>
      <w:r w:rsidRPr="00431418">
        <w:rPr>
          <w:rFonts w:ascii="Helvetica" w:eastAsia="Helvetica" w:hAnsi="Helvetica" w:cs="Helvetica"/>
          <w:color w:val="auto"/>
          <w:sz w:val="22"/>
          <w:szCs w:val="22"/>
        </w:rPr>
        <w:br/>
      </w:r>
    </w:p>
    <w:p w14:paraId="4CE2DA70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color w:val="1DB100"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>—Esercitazioni e revisioni</w:t>
      </w:r>
    </w:p>
    <w:p w14:paraId="5C64552B" w14:textId="72EDCC99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color w:val="1DB100"/>
          <w:sz w:val="22"/>
          <w:szCs w:val="22"/>
        </w:rPr>
      </w:pPr>
      <w:r>
        <w:rPr>
          <w:rFonts w:ascii="Helvetica" w:hAnsi="Helvetica"/>
          <w:sz w:val="22"/>
          <w:szCs w:val="22"/>
        </w:rPr>
        <w:t>Non sono previste esercitazioni intermedie.</w:t>
      </w:r>
      <w:r>
        <w:rPr>
          <w:rFonts w:ascii="Helvetica" w:eastAsia="Helvetica" w:hAnsi="Helvetica" w:cs="Helvetica"/>
          <w:sz w:val="22"/>
          <w:szCs w:val="22"/>
        </w:rPr>
        <w:br/>
      </w:r>
      <w:r w:rsidRPr="00335821">
        <w:rPr>
          <w:rFonts w:ascii="Helvetica" w:hAnsi="Helvetica"/>
          <w:color w:val="auto"/>
          <w:sz w:val="22"/>
          <w:szCs w:val="22"/>
        </w:rPr>
        <w:t>L’accesso alle rev</w:t>
      </w:r>
      <w:r w:rsidRPr="00377AA6">
        <w:rPr>
          <w:rFonts w:ascii="Helvetica" w:hAnsi="Helvetica"/>
          <w:color w:val="auto"/>
          <w:sz w:val="22"/>
          <w:szCs w:val="22"/>
        </w:rPr>
        <w:t>isioni è su prenotazione via PEO.</w:t>
      </w:r>
      <w:r w:rsidRPr="00377AA6">
        <w:rPr>
          <w:rFonts w:ascii="Helvetica" w:eastAsia="Helvetica" w:hAnsi="Helvetica" w:cs="Helvetica"/>
          <w:color w:val="auto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Nella pagina del docente è disponibile il calendario di massima delle revisioni preventivamente redatto.</w:t>
      </w:r>
    </w:p>
    <w:p w14:paraId="5768956D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</w:p>
    <w:p w14:paraId="62395382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Elaborato finale</w:t>
      </w:r>
    </w:p>
    <w:p w14:paraId="4C45850E" w14:textId="070B42C5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Per il conseguimento della materia è prevista la realizzazione di un elaborato da </w:t>
      </w:r>
      <w:r w:rsidRPr="0052455D">
        <w:rPr>
          <w:rFonts w:ascii="Helvetica" w:hAnsi="Helvetica"/>
          <w:color w:val="auto"/>
          <w:sz w:val="22"/>
          <w:szCs w:val="22"/>
        </w:rPr>
        <w:t xml:space="preserve">visionare </w:t>
      </w:r>
      <w:r>
        <w:rPr>
          <w:rFonts w:ascii="Helvetica" w:hAnsi="Helvetica"/>
          <w:sz w:val="22"/>
          <w:szCs w:val="22"/>
        </w:rPr>
        <w:t xml:space="preserve">contestualmente all’esame. L’elaborato finale per essere ammesso dovrà necessariamente </w:t>
      </w:r>
      <w:r w:rsidR="00431418">
        <w:rPr>
          <w:rFonts w:ascii="Helvetica" w:hAnsi="Helvetica"/>
          <w:sz w:val="22"/>
          <w:szCs w:val="22"/>
        </w:rPr>
        <w:t xml:space="preserve">essere </w:t>
      </w:r>
      <w:r w:rsidR="008F2B8E">
        <w:rPr>
          <w:rFonts w:ascii="Helvetica" w:hAnsi="Helvetica"/>
          <w:sz w:val="22"/>
          <w:szCs w:val="22"/>
        </w:rPr>
        <w:t>visionato dalla docente.</w:t>
      </w:r>
    </w:p>
    <w:p w14:paraId="220E5A55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</w:p>
    <w:p w14:paraId="1BAC261B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Modalità esame</w:t>
      </w:r>
    </w:p>
    <w:p w14:paraId="363E8844" w14:textId="60A5C17E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color w:val="EE220C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Esame </w:t>
      </w:r>
      <w:r w:rsidRPr="0052455D">
        <w:rPr>
          <w:rFonts w:ascii="Helvetica" w:hAnsi="Helvetica"/>
          <w:color w:val="auto"/>
          <w:sz w:val="22"/>
          <w:szCs w:val="22"/>
        </w:rPr>
        <w:t>orale</w:t>
      </w:r>
      <w:r w:rsidR="008F2B8E" w:rsidRPr="0052455D">
        <w:rPr>
          <w:rFonts w:ascii="Helvetica" w:hAnsi="Helvetica"/>
          <w:color w:val="auto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sui testi di riferimento obbligatori e i contenuti illustrati a lezione.</w:t>
      </w:r>
      <w:r>
        <w:rPr>
          <w:rFonts w:ascii="Helvetica" w:hAnsi="Helvetica"/>
          <w:color w:val="1DB100"/>
          <w:spacing w:val="-1"/>
          <w:sz w:val="18"/>
          <w:szCs w:val="18"/>
        </w:rPr>
        <w:t xml:space="preserve"> </w:t>
      </w:r>
      <w:r>
        <w:rPr>
          <w:rFonts w:ascii="Helvetica" w:eastAsia="Helvetica" w:hAnsi="Helvetica" w:cs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>La valutazione comprenderà anche le esercitazioni intermedie e l’elaborato finale dove espressamente richiesti.</w:t>
      </w:r>
      <w:r>
        <w:rPr>
          <w:rFonts w:ascii="Helvetica" w:eastAsia="Helvetica" w:hAnsi="Helvetica" w:cs="Helvetica"/>
          <w:sz w:val="22"/>
          <w:szCs w:val="22"/>
        </w:rPr>
        <w:br/>
      </w:r>
    </w:p>
    <w:p w14:paraId="17FE63DC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Prerequisiti richiesti</w:t>
      </w:r>
    </w:p>
    <w:p w14:paraId="1549A985" w14:textId="6D43B1EE" w:rsidR="00776E84" w:rsidRDefault="006F67AD">
      <w:pPr>
        <w:pStyle w:val="Didefault"/>
        <w:spacing w:before="0"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Nessun prerequisito richiesto.</w:t>
      </w:r>
    </w:p>
    <w:p w14:paraId="590DF3D7" w14:textId="77777777" w:rsidR="00A933A1" w:rsidRDefault="00A933A1">
      <w:pPr>
        <w:pStyle w:val="Didefault"/>
        <w:spacing w:before="0" w:line="264" w:lineRule="auto"/>
        <w:rPr>
          <w:rFonts w:ascii="Helvetica" w:eastAsia="Helvetica" w:hAnsi="Helvetica" w:cs="Helvetica"/>
          <w:color w:val="EE220C"/>
          <w:sz w:val="22"/>
          <w:szCs w:val="22"/>
        </w:rPr>
      </w:pPr>
    </w:p>
    <w:p w14:paraId="45F90871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Frequenza lezioni</w:t>
      </w:r>
    </w:p>
    <w:p w14:paraId="1386F42F" w14:textId="77777777" w:rsidR="00BF571F" w:rsidRDefault="006F67AD">
      <w:pPr>
        <w:pStyle w:val="Didefault"/>
        <w:spacing w:before="0"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La frequenza è obbligatoria, non inferiore all’80% della </w:t>
      </w:r>
      <w:proofErr w:type="spellStart"/>
      <w:r>
        <w:rPr>
          <w:rFonts w:ascii="Helvetica" w:hAnsi="Helvetica"/>
          <w:sz w:val="22"/>
          <w:szCs w:val="22"/>
        </w:rPr>
        <w:t>totalita</w:t>
      </w:r>
      <w:proofErr w:type="spellEnd"/>
      <w:r>
        <w:rPr>
          <w:rFonts w:ascii="Helvetica" w:hAnsi="Helvetica"/>
          <w:sz w:val="22"/>
          <w:szCs w:val="22"/>
        </w:rPr>
        <w:t>̀ della didattica frontale come previsto da palinsesto, con esclusione dello studio individuale come da Art.10 del DPR n. 212 del 8 luglio 2005.</w:t>
      </w:r>
    </w:p>
    <w:p w14:paraId="7DC5A892" w14:textId="354E2FA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br/>
      </w:r>
    </w:p>
    <w:p w14:paraId="22E0DADB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lastRenderedPageBreak/>
        <w:tab/>
        <w:t>—</w:t>
      </w:r>
      <w:r>
        <w:rPr>
          <w:rFonts w:ascii="Helvetica" w:hAnsi="Helvetica"/>
          <w:b/>
          <w:bCs/>
          <w:sz w:val="22"/>
          <w:szCs w:val="22"/>
        </w:rPr>
        <w:t>Contenuti e programmazione del corso</w:t>
      </w:r>
    </w:p>
    <w:p w14:paraId="20BAB269" w14:textId="0CC76F9A" w:rsidR="00776E84" w:rsidRDefault="008F2B8E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 w:rsidRPr="008F2B8E">
        <w:rPr>
          <w:rFonts w:ascii="Helvetica" w:eastAsia="Helvetica" w:hAnsi="Helvetica" w:cs="Helvetica"/>
          <w:sz w:val="22"/>
          <w:szCs w:val="22"/>
        </w:rPr>
        <w:t>Il corso indaga i principali vettori di trasmissione dell'arte contemporanea al grande pubblico ed analizza i principali interventi normativi e le azioni del Ministero della cultura rivolte a questo segmento artistico. Esplora le dinamiche che portano lo spazio pubblico ad essere luogo di incontro tra espressione dell'individuo, diritto della collettività e riconoscimento sociale. Analizza i cambiamenti dei musei d'arte contemporanea intervenuti in alcune realtà del nostro Paese  ed in particolare del territorio siciliano. Uno studio attento, in cui è richiesta l'attiva partecipazione dello studente, è rivolto al patrimonio artistico contemporaneo locale.</w:t>
      </w:r>
    </w:p>
    <w:p w14:paraId="5A1129EE" w14:textId="77777777" w:rsidR="008F2B8E" w:rsidRDefault="008F2B8E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</w:p>
    <w:p w14:paraId="0728A9F1" w14:textId="097A7A41" w:rsidR="00776E84" w:rsidRDefault="006F67AD" w:rsidP="008F2B8E">
      <w:pPr>
        <w:pStyle w:val="Didefault"/>
        <w:spacing w:before="0" w:line="264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  <w:t>—</w:t>
      </w:r>
      <w:r>
        <w:rPr>
          <w:rFonts w:ascii="Helvetica" w:hAnsi="Helvetica"/>
          <w:b/>
          <w:bCs/>
          <w:sz w:val="22"/>
          <w:szCs w:val="22"/>
        </w:rPr>
        <w:t>Testi di riferimento obbligatori</w:t>
      </w:r>
    </w:p>
    <w:p w14:paraId="3AB0D4C6" w14:textId="77777777" w:rsidR="008F2B8E" w:rsidRDefault="008F2B8E" w:rsidP="008F2B8E">
      <w:pPr>
        <w:pStyle w:val="Didefault"/>
        <w:spacing w:before="0" w:line="264" w:lineRule="auto"/>
        <w:rPr>
          <w:rFonts w:ascii="Helvetica" w:eastAsia="Helvetica" w:hAnsi="Helvetica" w:cs="Helvetica"/>
          <w:color w:val="EE220C"/>
          <w:sz w:val="22"/>
          <w:szCs w:val="22"/>
        </w:rPr>
      </w:pPr>
    </w:p>
    <w:p w14:paraId="19E7A466" w14:textId="281F3168" w:rsidR="00D27208" w:rsidRPr="00D27208" w:rsidRDefault="008F2B8E" w:rsidP="00BF571F">
      <w:pPr>
        <w:pStyle w:val="Didefault"/>
        <w:numPr>
          <w:ilvl w:val="0"/>
          <w:numId w:val="1"/>
        </w:numPr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color w:val="auto"/>
          <w:sz w:val="22"/>
          <w:szCs w:val="22"/>
        </w:rPr>
        <w:t>Giovanni Boldon Zanetti, Il diritto della street art, Maggioli editore, 2019.</w:t>
      </w:r>
    </w:p>
    <w:p w14:paraId="5675F73C" w14:textId="464615DA" w:rsidR="00D27208" w:rsidRPr="00D27208" w:rsidRDefault="00D27208" w:rsidP="00BF571F">
      <w:pPr>
        <w:pStyle w:val="Didefault"/>
        <w:numPr>
          <w:ilvl w:val="0"/>
          <w:numId w:val="1"/>
        </w:numPr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color w:val="auto"/>
          <w:sz w:val="22"/>
          <w:szCs w:val="22"/>
        </w:rPr>
        <w:t xml:space="preserve">Adriana Polveroni, </w:t>
      </w:r>
      <w:proofErr w:type="spellStart"/>
      <w:r w:rsidRPr="00D27208">
        <w:rPr>
          <w:rFonts w:ascii="Helvetica" w:eastAsia="Helvetica" w:hAnsi="Helvetica" w:cs="Helvetica"/>
          <w:color w:val="auto"/>
          <w:sz w:val="22"/>
          <w:szCs w:val="22"/>
        </w:rPr>
        <w:t>This</w:t>
      </w:r>
      <w:proofErr w:type="spellEnd"/>
      <w:r w:rsidRPr="00D27208">
        <w:rPr>
          <w:rFonts w:ascii="Helvetica" w:eastAsia="Helvetica" w:hAnsi="Helvetica" w:cs="Helvetica"/>
          <w:color w:val="auto"/>
          <w:sz w:val="22"/>
          <w:szCs w:val="22"/>
        </w:rPr>
        <w:t xml:space="preserve"> </w:t>
      </w:r>
      <w:proofErr w:type="spellStart"/>
      <w:r w:rsidRPr="00D27208">
        <w:rPr>
          <w:rFonts w:ascii="Helvetica" w:eastAsia="Helvetica" w:hAnsi="Helvetica" w:cs="Helvetica"/>
          <w:color w:val="auto"/>
          <w:sz w:val="22"/>
          <w:szCs w:val="22"/>
        </w:rPr>
        <w:t>is</w:t>
      </w:r>
      <w:proofErr w:type="spellEnd"/>
      <w:r w:rsidRPr="00D27208">
        <w:rPr>
          <w:rFonts w:ascii="Helvetica" w:eastAsia="Helvetica" w:hAnsi="Helvetica" w:cs="Helvetica"/>
          <w:color w:val="auto"/>
          <w:sz w:val="22"/>
          <w:szCs w:val="22"/>
        </w:rPr>
        <w:t xml:space="preserve"> </w:t>
      </w:r>
      <w:proofErr w:type="spellStart"/>
      <w:r w:rsidRPr="00D27208">
        <w:rPr>
          <w:rFonts w:ascii="Helvetica" w:eastAsia="Helvetica" w:hAnsi="Helvetica" w:cs="Helvetica"/>
          <w:color w:val="auto"/>
          <w:sz w:val="22"/>
          <w:szCs w:val="22"/>
        </w:rPr>
        <w:t>contemporary</w:t>
      </w:r>
      <w:proofErr w:type="spellEnd"/>
      <w:r w:rsidRPr="00D27208">
        <w:rPr>
          <w:rFonts w:ascii="Helvetica" w:eastAsia="Helvetica" w:hAnsi="Helvetica" w:cs="Helvetica"/>
          <w:color w:val="auto"/>
          <w:sz w:val="22"/>
          <w:szCs w:val="22"/>
        </w:rPr>
        <w:t>! Come cambiano i musei d'arte contemporanea, Franco Angeli, 2016.</w:t>
      </w:r>
    </w:p>
    <w:p w14:paraId="764282FE" w14:textId="52B923E8" w:rsidR="00D27208" w:rsidRPr="00D27208" w:rsidRDefault="00D27208" w:rsidP="00BF571F">
      <w:pPr>
        <w:pStyle w:val="Didefault"/>
        <w:numPr>
          <w:ilvl w:val="0"/>
          <w:numId w:val="1"/>
        </w:numPr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color w:val="auto"/>
          <w:sz w:val="22"/>
          <w:szCs w:val="22"/>
        </w:rPr>
        <w:t>Maria Vittoria Marini Clarelli, Il museo nel mondo contemporaneo. Teoria e prassi, Carocci editore, 2011.</w:t>
      </w:r>
    </w:p>
    <w:p w14:paraId="00723C59" w14:textId="2F775903" w:rsidR="00D27208" w:rsidRPr="00D27208" w:rsidRDefault="00D27208" w:rsidP="00BF571F">
      <w:pPr>
        <w:pStyle w:val="Didefault"/>
        <w:numPr>
          <w:ilvl w:val="0"/>
          <w:numId w:val="1"/>
        </w:numPr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color w:val="auto"/>
          <w:sz w:val="22"/>
          <w:szCs w:val="22"/>
        </w:rPr>
        <w:t xml:space="preserve">Giovanni Boldon Zanetti, Il nuovo diritto dei beni culturali, Libreria editrice </w:t>
      </w:r>
      <w:proofErr w:type="spellStart"/>
      <w:r w:rsidRPr="00D27208">
        <w:rPr>
          <w:rFonts w:ascii="Helvetica" w:eastAsia="Helvetica" w:hAnsi="Helvetica" w:cs="Helvetica"/>
          <w:color w:val="auto"/>
          <w:sz w:val="22"/>
          <w:szCs w:val="22"/>
        </w:rPr>
        <w:t>Cafoscarina</w:t>
      </w:r>
      <w:proofErr w:type="spellEnd"/>
      <w:r w:rsidRPr="00D27208">
        <w:rPr>
          <w:rFonts w:ascii="Helvetica" w:eastAsia="Helvetica" w:hAnsi="Helvetica" w:cs="Helvetica"/>
          <w:color w:val="auto"/>
          <w:sz w:val="22"/>
          <w:szCs w:val="22"/>
        </w:rPr>
        <w:t>, 2016.</w:t>
      </w:r>
    </w:p>
    <w:p w14:paraId="7C74BEBF" w14:textId="77777777" w:rsidR="00D27208" w:rsidRPr="00D27208" w:rsidRDefault="00D27208" w:rsidP="008F2B8E">
      <w:pPr>
        <w:pStyle w:val="Didefault"/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</w:p>
    <w:p w14:paraId="2493ABC7" w14:textId="77777777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 xml:space="preserve">—Strumenti per studenti con disabilità </w:t>
      </w:r>
      <w:r w:rsidRPr="00F86B3D">
        <w:rPr>
          <w:rFonts w:ascii="Helvetica" w:hAnsi="Helvetica"/>
          <w:b/>
          <w:bCs/>
          <w:sz w:val="22"/>
          <w:szCs w:val="22"/>
        </w:rPr>
        <w:t>e/o DSA</w:t>
      </w:r>
    </w:p>
    <w:p w14:paraId="5031C36A" w14:textId="77777777" w:rsidR="00776E84" w:rsidRDefault="006F67AD">
      <w:pPr>
        <w:pStyle w:val="Didefault"/>
        <w:spacing w:before="0" w:after="28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Gli studenti con disabilità e/o DSA (Disturbi Specifici </w:t>
      </w:r>
      <w:proofErr w:type="spellStart"/>
      <w:r>
        <w:rPr>
          <w:rFonts w:ascii="Helvetica" w:hAnsi="Helvetica"/>
          <w:sz w:val="22"/>
          <w:szCs w:val="22"/>
        </w:rPr>
        <w:t>dell</w:t>
      </w:r>
      <w:proofErr w:type="spellEnd"/>
      <w:r>
        <w:rPr>
          <w:rFonts w:ascii="Helvetica" w:hAnsi="Helvetica"/>
          <w:sz w:val="22"/>
          <w:szCs w:val="22"/>
          <w:rtl/>
        </w:rPr>
        <w:t>’</w:t>
      </w:r>
      <w:r>
        <w:rPr>
          <w:rFonts w:ascii="Helvetica" w:hAnsi="Helvetica"/>
          <w:sz w:val="22"/>
          <w:szCs w:val="22"/>
        </w:rPr>
        <w:t xml:space="preserve">Apprendimento) sono supportati da professori e da tutor didattici (se assegnati) attraverso la consulenza con il </w:t>
      </w:r>
      <w:proofErr w:type="spellStart"/>
      <w:r>
        <w:rPr>
          <w:rFonts w:ascii="Helvetica" w:hAnsi="Helvetica"/>
          <w:sz w:val="22"/>
          <w:szCs w:val="22"/>
        </w:rPr>
        <w:t>CInAP</w:t>
      </w:r>
      <w:proofErr w:type="spellEnd"/>
      <w:r>
        <w:rPr>
          <w:rFonts w:ascii="Helvetica" w:hAnsi="Helvetica"/>
          <w:sz w:val="22"/>
          <w:szCs w:val="22"/>
        </w:rPr>
        <w:t xml:space="preserve"> (Centro per l'integrazione Attiva e Partecipata). Gli studenti possono, mediante PEO (e-mail istituzionale) o eventualmente anche attraverso i tutor, chiedere al professore del corso un colloquio in modo da concordare obiettivi didattici ed eventuali strumenti compensativi e/o dispensativi, in base alle specifiche esigenze. Tale colloquio sarebbe opportuno che avvenisse prima </w:t>
      </w:r>
      <w:proofErr w:type="spellStart"/>
      <w:r>
        <w:rPr>
          <w:rFonts w:ascii="Helvetica" w:hAnsi="Helvetica"/>
          <w:sz w:val="22"/>
          <w:szCs w:val="22"/>
        </w:rPr>
        <w:t>dell</w:t>
      </w:r>
      <w:proofErr w:type="spellEnd"/>
      <w:r>
        <w:rPr>
          <w:rFonts w:ascii="Helvetica" w:hAnsi="Helvetica"/>
          <w:sz w:val="22"/>
          <w:szCs w:val="22"/>
          <w:rtl/>
        </w:rPr>
        <w:t>’</w:t>
      </w:r>
      <w:r>
        <w:rPr>
          <w:rFonts w:ascii="Helvetica" w:hAnsi="Helvetica"/>
          <w:sz w:val="22"/>
          <w:szCs w:val="22"/>
        </w:rPr>
        <w:t>avvio delle lezioni e comunque non oltre la prima settimana di corso.</w:t>
      </w:r>
      <w:r>
        <w:rPr>
          <w:rFonts w:ascii="Helvetica" w:eastAsia="Helvetica" w:hAnsi="Helvetica" w:cs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t xml:space="preserve">Per rivolgersi direttamente al </w:t>
      </w:r>
      <w:proofErr w:type="spellStart"/>
      <w:r>
        <w:rPr>
          <w:rFonts w:ascii="Helvetica" w:hAnsi="Helvetica"/>
          <w:sz w:val="22"/>
          <w:szCs w:val="22"/>
        </w:rPr>
        <w:t>CInAP</w:t>
      </w:r>
      <w:proofErr w:type="spellEnd"/>
      <w:r>
        <w:rPr>
          <w:rFonts w:ascii="Helvetica" w:hAnsi="Helvetica"/>
          <w:sz w:val="22"/>
          <w:szCs w:val="22"/>
        </w:rPr>
        <w:t xml:space="preserve"> è possibile utilizzare la mail istituzionale </w:t>
      </w:r>
      <w:hyperlink r:id="rId7" w:history="1">
        <w:r>
          <w:rPr>
            <w:rStyle w:val="Link"/>
            <w:rFonts w:ascii="Helvetica" w:hAnsi="Helvetica"/>
            <w:sz w:val="22"/>
            <w:szCs w:val="22"/>
          </w:rPr>
          <w:t>cinap@abacatania.it</w:t>
        </w:r>
      </w:hyperlink>
    </w:p>
    <w:p w14:paraId="20229659" w14:textId="77777777" w:rsidR="00776E84" w:rsidRDefault="006F67AD">
      <w:pPr>
        <w:pStyle w:val="Didefault"/>
        <w:spacing w:before="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>—Nota di trasparenza</w:t>
      </w:r>
    </w:p>
    <w:p w14:paraId="69EE89D4" w14:textId="77777777" w:rsidR="00776E84" w:rsidRDefault="006F67AD">
      <w:pPr>
        <w:pStyle w:val="Didefault"/>
        <w:spacing w:before="0" w:after="28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seguente </w:t>
      </w:r>
      <w:proofErr w:type="spellStart"/>
      <w:r>
        <w:rPr>
          <w:rFonts w:ascii="Helvetica" w:hAnsi="Helvetica"/>
          <w:sz w:val="22"/>
          <w:szCs w:val="22"/>
        </w:rPr>
        <w:t>Syllabus</w:t>
      </w:r>
      <w:proofErr w:type="spellEnd"/>
      <w:r>
        <w:rPr>
          <w:rFonts w:ascii="Helvetica" w:hAnsi="Helvetica"/>
          <w:sz w:val="22"/>
          <w:szCs w:val="22"/>
        </w:rPr>
        <w:t xml:space="preserve"> è l’unico documento a cui gli studenti possono fare riferimento per la fruizione e il conseguimento della disciplina nell’</w:t>
      </w:r>
      <w:proofErr w:type="spellStart"/>
      <w:r>
        <w:rPr>
          <w:rFonts w:ascii="Helvetica" w:hAnsi="Helvetica"/>
          <w:sz w:val="22"/>
          <w:szCs w:val="22"/>
        </w:rPr>
        <w:t>a.a</w:t>
      </w:r>
      <w:proofErr w:type="spellEnd"/>
      <w:r>
        <w:rPr>
          <w:rFonts w:ascii="Helvetica" w:hAnsi="Helvetica"/>
          <w:sz w:val="22"/>
          <w:szCs w:val="22"/>
        </w:rPr>
        <w:t xml:space="preserve">. in oggetto, non saranno pubblicati ne presi in considerazione altri programmi didattici. Le informazioni inserite nel presente documento, con particolare attenzione alle caratteristiche delle esercitazioni intermedie, degli elaborati finali e dei testi di riferimento obbligatori, non potranno essere modificate dopo l’avvio della disciplina in oggetto. Tutto ciò che non è specificatamente descritto in questo </w:t>
      </w:r>
      <w:proofErr w:type="spellStart"/>
      <w:r>
        <w:rPr>
          <w:rFonts w:ascii="Helvetica" w:hAnsi="Helvetica"/>
          <w:sz w:val="22"/>
          <w:szCs w:val="22"/>
        </w:rPr>
        <w:t>Syllabus</w:t>
      </w:r>
      <w:proofErr w:type="spellEnd"/>
      <w:r>
        <w:rPr>
          <w:rFonts w:ascii="Helvetica" w:hAnsi="Helvetica"/>
          <w:sz w:val="22"/>
          <w:szCs w:val="22"/>
        </w:rPr>
        <w:t xml:space="preserve"> e/o effettivamente svolto a lezione non potrà essere chiesto in fase di esame.</w:t>
      </w:r>
    </w:p>
    <w:p w14:paraId="4F27B67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60A21BD6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57CED4D3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66F97D2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252E1FC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46F5FFD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5DF5263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4D2DE863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2422FB8C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6FBBE938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6A2E9E89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1B28E0F3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6B815056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5A735DE2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7F92F812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76641C99" w14:textId="77777777" w:rsidR="00D27208" w:rsidRDefault="00D27208">
      <w:pPr>
        <w:pStyle w:val="Didefault"/>
        <w:spacing w:before="0" w:line="264" w:lineRule="auto"/>
        <w:rPr>
          <w:rFonts w:ascii="Helvetica" w:hAnsi="Helvetica"/>
          <w:color w:val="EE220C"/>
          <w:sz w:val="20"/>
          <w:szCs w:val="20"/>
        </w:rPr>
      </w:pPr>
    </w:p>
    <w:p w14:paraId="3E99101E" w14:textId="4443C186" w:rsidR="00776E84" w:rsidRDefault="006F67AD">
      <w:pPr>
        <w:pStyle w:val="Didefault"/>
        <w:spacing w:before="0" w:line="264" w:lineRule="auto"/>
        <w:rPr>
          <w:rFonts w:ascii="Helvetica" w:eastAsia="Helvetica" w:hAnsi="Helvetica" w:cs="Helvetica"/>
          <w:sz w:val="68"/>
          <w:szCs w:val="68"/>
        </w:rPr>
      </w:pPr>
      <w:r>
        <w:rPr>
          <w:rFonts w:ascii="Helvetica" w:hAnsi="Helvetica"/>
          <w:sz w:val="68"/>
          <w:szCs w:val="68"/>
        </w:rPr>
        <w:lastRenderedPageBreak/>
        <w:t>—Calendario revisioni</w:t>
      </w:r>
    </w:p>
    <w:p w14:paraId="110C2EA9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B66C21E" w14:textId="3762DAF2" w:rsidR="00776E84" w:rsidRPr="00D27208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color w:val="auto"/>
          <w:sz w:val="20"/>
          <w:szCs w:val="20"/>
        </w:rPr>
      </w:pPr>
      <w:r w:rsidRPr="00D27208">
        <w:rPr>
          <w:rFonts w:ascii="Helvetica" w:eastAsia="Helvetica" w:hAnsi="Helvetica" w:cs="Helvetica"/>
          <w:b/>
          <w:bCs/>
          <w:color w:val="auto"/>
          <w:sz w:val="20"/>
          <w:szCs w:val="20"/>
        </w:rPr>
        <w:tab/>
      </w:r>
      <w:r w:rsidRPr="00D27208">
        <w:rPr>
          <w:rFonts w:ascii="Helvetica" w:hAnsi="Helvetica"/>
          <w:b/>
          <w:bCs/>
          <w:color w:val="auto"/>
          <w:sz w:val="32"/>
          <w:szCs w:val="32"/>
        </w:rPr>
        <w:t xml:space="preserve">Professore </w:t>
      </w:r>
      <w:r w:rsidR="00D27208" w:rsidRPr="00D27208">
        <w:rPr>
          <w:rFonts w:ascii="Helvetica" w:hAnsi="Helvetica"/>
          <w:b/>
          <w:bCs/>
          <w:color w:val="auto"/>
          <w:sz w:val="32"/>
          <w:szCs w:val="32"/>
        </w:rPr>
        <w:t>Viviana Scalia</w:t>
      </w:r>
      <w:r w:rsidRPr="00D27208">
        <w:rPr>
          <w:rFonts w:ascii="Helvetica" w:eastAsia="Helvetica" w:hAnsi="Helvetica" w:cs="Helvetica"/>
          <w:b/>
          <w:bCs/>
          <w:color w:val="auto"/>
          <w:sz w:val="20"/>
          <w:szCs w:val="20"/>
        </w:rPr>
        <w:br/>
      </w:r>
      <w:r w:rsidRPr="00D27208">
        <w:rPr>
          <w:rFonts w:ascii="Helvetica" w:eastAsia="Helvetica" w:hAnsi="Helvetica" w:cs="Helvetica"/>
          <w:b/>
          <w:bCs/>
          <w:color w:val="auto"/>
          <w:sz w:val="20"/>
          <w:szCs w:val="20"/>
        </w:rPr>
        <w:tab/>
      </w:r>
      <w:proofErr w:type="spellStart"/>
      <w:r w:rsidRPr="00D27208">
        <w:rPr>
          <w:rFonts w:ascii="Helvetica" w:hAnsi="Helvetica"/>
          <w:b/>
          <w:bCs/>
          <w:color w:val="auto"/>
          <w:sz w:val="20"/>
          <w:szCs w:val="20"/>
        </w:rPr>
        <w:t>a.a</w:t>
      </w:r>
      <w:proofErr w:type="spellEnd"/>
      <w:r w:rsidRPr="00D27208">
        <w:rPr>
          <w:rFonts w:ascii="Helvetica" w:hAnsi="Helvetica"/>
          <w:b/>
          <w:bCs/>
          <w:color w:val="auto"/>
          <w:sz w:val="20"/>
          <w:szCs w:val="20"/>
        </w:rPr>
        <w:t>. 202</w:t>
      </w:r>
      <w:r w:rsidR="00E969DF">
        <w:rPr>
          <w:rFonts w:ascii="Helvetica" w:hAnsi="Helvetica"/>
          <w:b/>
          <w:bCs/>
          <w:color w:val="auto"/>
          <w:sz w:val="20"/>
          <w:szCs w:val="20"/>
        </w:rPr>
        <w:t>2</w:t>
      </w:r>
      <w:r w:rsidRPr="00D27208">
        <w:rPr>
          <w:rFonts w:ascii="Helvetica" w:hAnsi="Helvetica"/>
          <w:b/>
          <w:bCs/>
          <w:color w:val="auto"/>
          <w:sz w:val="20"/>
          <w:szCs w:val="20"/>
        </w:rPr>
        <w:t>–202</w:t>
      </w:r>
      <w:r w:rsidR="00E969DF">
        <w:rPr>
          <w:rFonts w:ascii="Helvetica" w:hAnsi="Helvetica"/>
          <w:b/>
          <w:bCs/>
          <w:color w:val="auto"/>
          <w:sz w:val="20"/>
          <w:szCs w:val="20"/>
        </w:rPr>
        <w:t>3</w:t>
      </w:r>
    </w:p>
    <w:p w14:paraId="5031BFA1" w14:textId="77777777" w:rsidR="00776E84" w:rsidRPr="00D27208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  <w:t xml:space="preserve">  </w:t>
      </w:r>
    </w:p>
    <w:p w14:paraId="1F916F50" w14:textId="77777777" w:rsidR="00776E84" w:rsidRPr="00D27208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D27208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  <w:t>—</w:t>
      </w:r>
      <w:r w:rsidRPr="00D27208">
        <w:rPr>
          <w:rFonts w:ascii="Helvetica" w:hAnsi="Helvetica"/>
          <w:b/>
          <w:bCs/>
          <w:color w:val="auto"/>
          <w:sz w:val="22"/>
          <w:szCs w:val="22"/>
        </w:rPr>
        <w:t>Obiettivo degli incontri</w:t>
      </w:r>
    </w:p>
    <w:p w14:paraId="29681227" w14:textId="4E242CD4" w:rsidR="00776E84" w:rsidRPr="00D27208" w:rsidRDefault="00D27208">
      <w:pPr>
        <w:pStyle w:val="Didefault"/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D27208">
        <w:rPr>
          <w:rFonts w:ascii="Helvetica" w:hAnsi="Helvetica"/>
          <w:color w:val="auto"/>
          <w:sz w:val="22"/>
          <w:szCs w:val="22"/>
        </w:rPr>
        <w:t xml:space="preserve">Visione del lavoro richiesto nel </w:t>
      </w:r>
      <w:proofErr w:type="spellStart"/>
      <w:r w:rsidRPr="00D27208">
        <w:rPr>
          <w:rFonts w:ascii="Helvetica" w:hAnsi="Helvetica"/>
          <w:color w:val="auto"/>
          <w:sz w:val="22"/>
          <w:szCs w:val="22"/>
        </w:rPr>
        <w:t>Syllabus</w:t>
      </w:r>
      <w:proofErr w:type="spellEnd"/>
      <w:r w:rsidR="008A0C11">
        <w:rPr>
          <w:rFonts w:ascii="Helvetica" w:hAnsi="Helvetica"/>
          <w:color w:val="auto"/>
          <w:sz w:val="22"/>
          <w:szCs w:val="22"/>
        </w:rPr>
        <w:t xml:space="preserve"> ed eventuali chiarimenti  </w:t>
      </w:r>
    </w:p>
    <w:p w14:paraId="188D1D97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sz w:val="22"/>
          <w:szCs w:val="22"/>
        </w:rPr>
      </w:pPr>
    </w:p>
    <w:p w14:paraId="78B4DEE7" w14:textId="77777777" w:rsidR="00776E84" w:rsidRPr="00B4711F" w:rsidRDefault="006F67AD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B4711F">
        <w:rPr>
          <w:rFonts w:ascii="Helvetica" w:eastAsia="Helvetica" w:hAnsi="Helvetica" w:cs="Helvetica"/>
          <w:b/>
          <w:bCs/>
          <w:color w:val="auto"/>
          <w:sz w:val="22"/>
          <w:szCs w:val="22"/>
        </w:rPr>
        <w:tab/>
      </w:r>
      <w:r w:rsidRPr="00B4711F">
        <w:rPr>
          <w:rFonts w:ascii="Helvetica" w:hAnsi="Helvetica"/>
          <w:b/>
          <w:bCs/>
          <w:color w:val="auto"/>
          <w:sz w:val="22"/>
          <w:szCs w:val="22"/>
        </w:rPr>
        <w:t>—Modalità di svolgimento</w:t>
      </w:r>
    </w:p>
    <w:p w14:paraId="4DD834D6" w14:textId="11CF0CB5" w:rsidR="00776E84" w:rsidRPr="00B4711F" w:rsidRDefault="006F67AD">
      <w:pPr>
        <w:pStyle w:val="Didefault"/>
        <w:spacing w:before="0" w:line="264" w:lineRule="auto"/>
        <w:rPr>
          <w:rFonts w:ascii="Helvetica" w:hAnsi="Helvetica"/>
          <w:color w:val="auto"/>
          <w:sz w:val="22"/>
          <w:szCs w:val="22"/>
        </w:rPr>
      </w:pPr>
      <w:r w:rsidRPr="00B4711F">
        <w:rPr>
          <w:rFonts w:ascii="Helvetica" w:hAnsi="Helvetica"/>
          <w:color w:val="auto"/>
          <w:sz w:val="22"/>
          <w:szCs w:val="22"/>
        </w:rPr>
        <w:t xml:space="preserve">Discipline: </w:t>
      </w:r>
      <w:r w:rsidR="008A0C11" w:rsidRPr="00B4711F">
        <w:rPr>
          <w:rFonts w:ascii="Helvetica" w:hAnsi="Helvetica"/>
          <w:color w:val="auto"/>
          <w:sz w:val="22"/>
          <w:szCs w:val="22"/>
        </w:rPr>
        <w:t xml:space="preserve">Beni culturali dell’età contemporanea </w:t>
      </w:r>
      <w:bookmarkStart w:id="2" w:name="_Hlk100073097"/>
      <w:r w:rsidR="008A0C11" w:rsidRPr="00B4711F">
        <w:rPr>
          <w:rFonts w:ascii="Helvetica" w:hAnsi="Helvetica"/>
          <w:color w:val="auto"/>
          <w:sz w:val="22"/>
          <w:szCs w:val="22"/>
        </w:rPr>
        <w:t>(ABVPA61)</w:t>
      </w:r>
      <w:bookmarkEnd w:id="2"/>
      <w:r w:rsidR="008A0C11" w:rsidRPr="00B4711F">
        <w:rPr>
          <w:rFonts w:ascii="Helvetica" w:hAnsi="Helvetica"/>
          <w:color w:val="auto"/>
          <w:sz w:val="22"/>
          <w:szCs w:val="22"/>
        </w:rPr>
        <w:t>; Catalogazione e gestione degli archivi (T) (ABVPA61); Catalogazione e gestione degli archivi (B) (ABVPA61); Museologia del contemporaneo (T)</w:t>
      </w:r>
      <w:r w:rsidR="00B4711F" w:rsidRPr="00B4711F">
        <w:rPr>
          <w:rFonts w:ascii="Helvetica" w:hAnsi="Helvetica"/>
          <w:color w:val="auto"/>
          <w:sz w:val="22"/>
          <w:szCs w:val="22"/>
        </w:rPr>
        <w:t xml:space="preserve"> (ABVPA62)</w:t>
      </w:r>
      <w:r w:rsidR="008A0C11" w:rsidRPr="00B4711F">
        <w:rPr>
          <w:rFonts w:ascii="Helvetica" w:hAnsi="Helvetica"/>
          <w:color w:val="auto"/>
          <w:sz w:val="22"/>
          <w:szCs w:val="22"/>
        </w:rPr>
        <w:t>; Museologia e storia del collezionismo (B)</w:t>
      </w:r>
      <w:r w:rsidR="00B4711F" w:rsidRPr="00B4711F">
        <w:rPr>
          <w:rFonts w:ascii="Helvetica" w:hAnsi="Helvetica"/>
          <w:color w:val="auto"/>
          <w:sz w:val="22"/>
          <w:szCs w:val="22"/>
        </w:rPr>
        <w:t xml:space="preserve"> (ABVPA62).</w:t>
      </w:r>
    </w:p>
    <w:p w14:paraId="4F2727BC" w14:textId="77777777" w:rsidR="00B4711F" w:rsidRPr="00B4711F" w:rsidRDefault="00B4711F">
      <w:pPr>
        <w:pStyle w:val="Didefault"/>
        <w:spacing w:before="0" w:line="264" w:lineRule="auto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</w:p>
    <w:p w14:paraId="7A6FC563" w14:textId="3E6A2FD4" w:rsidR="00776E84" w:rsidRPr="00B4711F" w:rsidRDefault="006F67AD">
      <w:pPr>
        <w:pStyle w:val="Didefault"/>
        <w:spacing w:before="0" w:line="264" w:lineRule="auto"/>
        <w:rPr>
          <w:rFonts w:ascii="Helvetica" w:eastAsia="Helvetica" w:hAnsi="Helvetica" w:cs="Helvetica"/>
          <w:color w:val="auto"/>
          <w:sz w:val="22"/>
          <w:szCs w:val="22"/>
        </w:rPr>
      </w:pPr>
      <w:r w:rsidRPr="00B4711F">
        <w:rPr>
          <w:rFonts w:ascii="Helvetica" w:hAnsi="Helvetica"/>
          <w:color w:val="auto"/>
          <w:sz w:val="22"/>
          <w:szCs w:val="22"/>
        </w:rPr>
        <w:t xml:space="preserve">Orario di revisione: ogni </w:t>
      </w:r>
      <w:r w:rsidR="00D27208" w:rsidRPr="00B4711F">
        <w:rPr>
          <w:rFonts w:ascii="Helvetica" w:hAnsi="Helvetica"/>
          <w:color w:val="auto"/>
          <w:sz w:val="22"/>
          <w:szCs w:val="22"/>
        </w:rPr>
        <w:t>mercoledì</w:t>
      </w:r>
      <w:r w:rsidRPr="00B4711F">
        <w:rPr>
          <w:rFonts w:ascii="Helvetica" w:hAnsi="Helvetica"/>
          <w:color w:val="auto"/>
          <w:sz w:val="22"/>
          <w:szCs w:val="22"/>
        </w:rPr>
        <w:t xml:space="preserve"> dalle </w:t>
      </w:r>
      <w:r w:rsidR="00D27208" w:rsidRPr="00B4711F">
        <w:rPr>
          <w:rFonts w:ascii="Helvetica" w:hAnsi="Helvetica"/>
          <w:color w:val="auto"/>
          <w:sz w:val="22"/>
          <w:szCs w:val="22"/>
        </w:rPr>
        <w:t>15</w:t>
      </w:r>
      <w:r w:rsidRPr="00B4711F">
        <w:rPr>
          <w:rFonts w:ascii="Helvetica" w:hAnsi="Helvetica"/>
          <w:color w:val="auto"/>
          <w:sz w:val="22"/>
          <w:szCs w:val="22"/>
        </w:rPr>
        <w:t>:</w:t>
      </w:r>
      <w:r w:rsidR="00D27208" w:rsidRPr="00B4711F">
        <w:rPr>
          <w:rFonts w:ascii="Helvetica" w:hAnsi="Helvetica"/>
          <w:color w:val="auto"/>
          <w:sz w:val="22"/>
          <w:szCs w:val="22"/>
        </w:rPr>
        <w:t>3</w:t>
      </w:r>
      <w:r w:rsidRPr="00B4711F">
        <w:rPr>
          <w:rFonts w:ascii="Helvetica" w:hAnsi="Helvetica"/>
          <w:color w:val="auto"/>
          <w:sz w:val="22"/>
          <w:szCs w:val="22"/>
        </w:rPr>
        <w:t xml:space="preserve">0 alle </w:t>
      </w:r>
      <w:r w:rsidR="00D27208" w:rsidRPr="00B4711F">
        <w:rPr>
          <w:rFonts w:ascii="Helvetica" w:hAnsi="Helvetica"/>
          <w:color w:val="auto"/>
          <w:sz w:val="22"/>
          <w:szCs w:val="22"/>
        </w:rPr>
        <w:t>16</w:t>
      </w:r>
      <w:r w:rsidRPr="00B4711F">
        <w:rPr>
          <w:rFonts w:ascii="Helvetica" w:hAnsi="Helvetica"/>
          <w:color w:val="auto"/>
          <w:sz w:val="22"/>
          <w:szCs w:val="22"/>
        </w:rPr>
        <w:t>:</w:t>
      </w:r>
      <w:r w:rsidR="00D27208" w:rsidRPr="00B4711F">
        <w:rPr>
          <w:rFonts w:ascii="Helvetica" w:hAnsi="Helvetica"/>
          <w:color w:val="auto"/>
          <w:sz w:val="22"/>
          <w:szCs w:val="22"/>
        </w:rPr>
        <w:t>3</w:t>
      </w:r>
      <w:r w:rsidRPr="00B4711F">
        <w:rPr>
          <w:rFonts w:ascii="Helvetica" w:hAnsi="Helvetica"/>
          <w:color w:val="auto"/>
          <w:sz w:val="22"/>
          <w:szCs w:val="22"/>
        </w:rPr>
        <w:t>0</w:t>
      </w:r>
      <w:r w:rsidR="00B4711F">
        <w:rPr>
          <w:rFonts w:ascii="Helvetica" w:hAnsi="Helvetica"/>
          <w:color w:val="auto"/>
          <w:sz w:val="22"/>
          <w:szCs w:val="22"/>
        </w:rPr>
        <w:t>.</w:t>
      </w:r>
      <w:r w:rsidR="00044BAA">
        <w:rPr>
          <w:rFonts w:ascii="Helvetica" w:hAnsi="Helvetica"/>
          <w:color w:val="auto"/>
          <w:sz w:val="22"/>
          <w:szCs w:val="22"/>
        </w:rPr>
        <w:t xml:space="preserve"> </w:t>
      </w:r>
      <w:r w:rsidRPr="00B4711F">
        <w:rPr>
          <w:rFonts w:ascii="Helvetica" w:eastAsia="Helvetica" w:hAnsi="Helvetica" w:cs="Helvetica"/>
          <w:color w:val="auto"/>
          <w:sz w:val="22"/>
          <w:szCs w:val="22"/>
        </w:rPr>
        <w:br/>
      </w:r>
      <w:r w:rsidRPr="00B4711F">
        <w:rPr>
          <w:rFonts w:ascii="Helvetica" w:hAnsi="Helvetica"/>
          <w:color w:val="auto"/>
          <w:sz w:val="22"/>
          <w:szCs w:val="22"/>
        </w:rPr>
        <w:t xml:space="preserve">Sede: Microsoft Teams </w:t>
      </w:r>
    </w:p>
    <w:p w14:paraId="37A248E2" w14:textId="77777777" w:rsidR="00776E84" w:rsidRDefault="00776E84">
      <w:pPr>
        <w:pStyle w:val="Didefault"/>
        <w:spacing w:before="0" w:line="264" w:lineRule="auto"/>
        <w:rPr>
          <w:rFonts w:ascii="Helvetica" w:eastAsia="Helvetica" w:hAnsi="Helvetica" w:cs="Helvetica"/>
          <w:color w:val="EE220C"/>
          <w:sz w:val="22"/>
          <w:szCs w:val="22"/>
        </w:rPr>
      </w:pPr>
    </w:p>
    <w:p w14:paraId="17D45670" w14:textId="795E79F7" w:rsidR="00776E84" w:rsidRDefault="00776E84">
      <w:pPr>
        <w:pStyle w:val="Didefault"/>
        <w:spacing w:before="0" w:line="264" w:lineRule="auto"/>
      </w:pPr>
    </w:p>
    <w:sectPr w:rsidR="00776E84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B44A" w14:textId="77777777" w:rsidR="00CB0E87" w:rsidRDefault="00CB0E87">
      <w:r>
        <w:separator/>
      </w:r>
    </w:p>
  </w:endnote>
  <w:endnote w:type="continuationSeparator" w:id="0">
    <w:p w14:paraId="15EA5356" w14:textId="77777777" w:rsidR="00CB0E87" w:rsidRDefault="00CB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EC21" w14:textId="77777777" w:rsidR="00776E84" w:rsidRDefault="00776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CD05" w14:textId="77777777" w:rsidR="00CB0E87" w:rsidRDefault="00CB0E87">
      <w:r>
        <w:separator/>
      </w:r>
    </w:p>
  </w:footnote>
  <w:footnote w:type="continuationSeparator" w:id="0">
    <w:p w14:paraId="618DB310" w14:textId="77777777" w:rsidR="00CB0E87" w:rsidRDefault="00CB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CBA3" w14:textId="77777777" w:rsidR="00776E84" w:rsidRDefault="006F67AD">
    <w:pPr>
      <w:pStyle w:val="Intestazioneepidipagina"/>
      <w:tabs>
        <w:tab w:val="clear" w:pos="9020"/>
        <w:tab w:val="center" w:pos="5233"/>
        <w:tab w:val="right" w:pos="10466"/>
      </w:tabs>
    </w:pPr>
    <w:r>
      <w:rPr>
        <w:noProof/>
      </w:rPr>
      <w:drawing>
        <wp:inline distT="0" distB="0" distL="0" distR="0" wp14:anchorId="47B0EAB0" wp14:editId="692835C8">
          <wp:extent cx="1253304" cy="586514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304" cy="586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tab/>
    </w:r>
    <w:r>
      <w:rPr>
        <w:rFonts w:ascii="Helvetica" w:hAnsi="Helvetica"/>
        <w:b/>
        <w:bCs/>
        <w:sz w:val="14"/>
        <w:szCs w:val="14"/>
        <w:shd w:val="clear" w:color="auto" w:fill="FFFFFF"/>
      </w:rPr>
      <w:t xml:space="preserve">Ministero dell'Università e della Ricerca </w:t>
    </w:r>
    <w:r>
      <w:rPr>
        <w:rFonts w:ascii="Helvetica" w:hAnsi="Helvetica"/>
        <w:b/>
        <w:bCs/>
        <w:color w:val="FFFFFF"/>
        <w:sz w:val="14"/>
        <w:szCs w:val="14"/>
        <w:shd w:val="clear" w:color="auto" w:fill="FFFFFF"/>
      </w:rPr>
      <w:t>000000</w:t>
    </w:r>
  </w:p>
  <w:p w14:paraId="2F31E23D" w14:textId="77777777" w:rsidR="00776E84" w:rsidRDefault="006F67AD">
    <w:pPr>
      <w:pStyle w:val="Intestazioneepidipagina"/>
      <w:tabs>
        <w:tab w:val="clear" w:pos="9020"/>
        <w:tab w:val="center" w:pos="5233"/>
        <w:tab w:val="right" w:pos="10466"/>
      </w:tabs>
      <w:spacing w:line="20" w:lineRule="atLeast"/>
    </w:pPr>
    <w:r>
      <w:rPr>
        <w:rFonts w:ascii="Helvetica" w:eastAsia="Helvetica" w:hAnsi="Helvetica" w:cs="Helvetica"/>
        <w:b/>
        <w:bCs/>
        <w:sz w:val="14"/>
        <w:szCs w:val="14"/>
        <w:shd w:val="clear" w:color="auto" w:fill="FFFFFF"/>
      </w:rPr>
      <w:tab/>
    </w:r>
    <w:r>
      <w:rPr>
        <w:rFonts w:ascii="Helvetica" w:hAnsi="Helvetica"/>
        <w:b/>
        <w:bCs/>
        <w:sz w:val="14"/>
        <w:szCs w:val="14"/>
        <w:shd w:val="clear" w:color="auto" w:fill="FFFFFF"/>
      </w:rPr>
      <w:t>Alta Formazione Artistica Musicale e Coreutica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2BF"/>
    <w:multiLevelType w:val="hybridMultilevel"/>
    <w:tmpl w:val="6EC0240E"/>
    <w:lvl w:ilvl="0" w:tplc="CBDA08D6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84"/>
    <w:rsid w:val="00044BAA"/>
    <w:rsid w:val="000C1285"/>
    <w:rsid w:val="00335821"/>
    <w:rsid w:val="00377AA6"/>
    <w:rsid w:val="00431418"/>
    <w:rsid w:val="0043346C"/>
    <w:rsid w:val="0052455D"/>
    <w:rsid w:val="00534E5F"/>
    <w:rsid w:val="005C1CD8"/>
    <w:rsid w:val="00676F67"/>
    <w:rsid w:val="006F67AD"/>
    <w:rsid w:val="00737846"/>
    <w:rsid w:val="00776E84"/>
    <w:rsid w:val="008A0C11"/>
    <w:rsid w:val="008F2B8E"/>
    <w:rsid w:val="00A933A1"/>
    <w:rsid w:val="00B4711F"/>
    <w:rsid w:val="00BF571F"/>
    <w:rsid w:val="00CB0E87"/>
    <w:rsid w:val="00D27208"/>
    <w:rsid w:val="00DE319F"/>
    <w:rsid w:val="00E05A93"/>
    <w:rsid w:val="00E8015F"/>
    <w:rsid w:val="00E969DF"/>
    <w:rsid w:val="00F1213D"/>
    <w:rsid w:val="00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1C15"/>
  <w15:docId w15:val="{E7ACE373-FD03-4F3B-95B8-106421A3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 w:val="0"/>
      <w:bCs w:val="0"/>
      <w:outline w:val="0"/>
      <w:color w:val="EE220C"/>
      <w:u w:val="single"/>
    </w:rPr>
  </w:style>
  <w:style w:type="table" w:customStyle="1" w:styleId="TableNormal1">
    <w:name w:val="Table Normal1"/>
    <w:rsid w:val="00F121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ap@aba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Viviana Scalia</cp:lastModifiedBy>
  <cp:revision>11</cp:revision>
  <dcterms:created xsi:type="dcterms:W3CDTF">2022-04-05T14:38:00Z</dcterms:created>
  <dcterms:modified xsi:type="dcterms:W3CDTF">2022-09-28T16:04:00Z</dcterms:modified>
</cp:coreProperties>
</file>